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792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b/>
          <w:bCs/>
          <w:color w:val="000000"/>
          <w:kern w:val="0"/>
          <w:sz w:val="26"/>
          <w:szCs w:val="26"/>
          <w:lang w:eastAsia="sv-SE"/>
          <w14:ligatures w14:val="none"/>
        </w:rPr>
        <w:t xml:space="preserve">Kriterier som stöd för bedömning av nomineringar </w:t>
      </w:r>
      <w:r w:rsidRPr="002A5824">
        <w:rPr>
          <w:rFonts w:ascii="DM Sans" w:eastAsia="Times New Roman" w:hAnsi="DM Sans" w:cs="Calibri"/>
          <w:color w:val="000000"/>
          <w:kern w:val="0"/>
          <w:sz w:val="26"/>
          <w:szCs w:val="26"/>
          <w:lang w:eastAsia="sv-SE"/>
          <w14:ligatures w14:val="none"/>
        </w:rPr>
        <w:br/>
      </w:r>
      <w:proofErr w:type="spellStart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>Criteria</w:t>
      </w:r>
      <w:proofErr w:type="spellEnd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 xml:space="preserve"> as a </w:t>
      </w:r>
      <w:proofErr w:type="spellStart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>tool</w:t>
      </w:r>
      <w:proofErr w:type="spellEnd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 xml:space="preserve"> for </w:t>
      </w:r>
      <w:proofErr w:type="spellStart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>assessment</w:t>
      </w:r>
      <w:proofErr w:type="spellEnd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 xml:space="preserve"> of </w:t>
      </w:r>
      <w:proofErr w:type="spellStart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>nominations</w:t>
      </w:r>
      <w:proofErr w:type="spellEnd"/>
      <w:r w:rsidRPr="002A5824">
        <w:rPr>
          <w:rFonts w:ascii="DM Sans" w:eastAsia="Times New Roman" w:hAnsi="DM Sans" w:cs="Calibri"/>
          <w:b/>
          <w:bCs/>
          <w:i/>
          <w:iCs/>
          <w:color w:val="000000"/>
          <w:kern w:val="0"/>
          <w:sz w:val="26"/>
          <w:szCs w:val="26"/>
          <w:lang w:eastAsia="sv-SE"/>
          <w14:ligatures w14:val="none"/>
        </w:rPr>
        <w:t> </w:t>
      </w:r>
    </w:p>
    <w:p w14:paraId="016AEB76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Förutsättningar: Aktiviteterna som ingår i nomineringen ska ha ägt rum under de senaste tre åren</w:t>
      </w:r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br/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Preconditions</w:t>
      </w:r>
      <w:proofErr w:type="spellEnd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 xml:space="preserve">: The </w:t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activities</w:t>
      </w:r>
      <w:proofErr w:type="spellEnd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should</w:t>
      </w:r>
      <w:proofErr w:type="spellEnd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have</w:t>
      </w:r>
      <w:proofErr w:type="spellEnd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 xml:space="preserve"> taken </w:t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place</w:t>
      </w:r>
      <w:proofErr w:type="spellEnd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during</w:t>
      </w:r>
      <w:proofErr w:type="spellEnd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 xml:space="preserve"> the last </w:t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three</w:t>
      </w:r>
      <w:proofErr w:type="spellEnd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years</w:t>
      </w:r>
      <w:proofErr w:type="spellEnd"/>
      <w:r w:rsidRPr="002A5824">
        <w:rPr>
          <w:rFonts w:ascii="DM Sans" w:eastAsia="Times New Roman" w:hAnsi="DM Sans" w:cs="Calibri"/>
          <w:color w:val="000000"/>
          <w:kern w:val="0"/>
          <w:lang w:eastAsia="sv-SE"/>
          <w14:ligatures w14:val="none"/>
        </w:rPr>
        <w:br/>
      </w:r>
      <w:r w:rsidRPr="002A5824">
        <w:rPr>
          <w:rFonts w:ascii="DM Sans" w:eastAsia="Times New Roman" w:hAnsi="DM Sans" w:cs="Calibri"/>
          <w:color w:val="000000"/>
          <w:kern w:val="0"/>
          <w:lang w:eastAsia="sv-SE"/>
          <w14:ligatures w14:val="none"/>
        </w:rPr>
        <w:br/>
      </w:r>
    </w:p>
    <w:p w14:paraId="7DD7C529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1. Insatsen är av strategisk betydelse (inom program eller fakultetsövergripande)</w:t>
      </w:r>
    </w:p>
    <w:p w14:paraId="59B3B80B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i/>
          <w:iCs/>
          <w:color w:val="000000"/>
          <w:kern w:val="0"/>
          <w:lang w:val="en-US" w:eastAsia="sv-SE"/>
          <w14:ligatures w14:val="none"/>
        </w:rPr>
        <w:t>The activity is of strategic importance (for program or faculty)</w:t>
      </w:r>
    </w:p>
    <w:p w14:paraId="5EA87701" w14:textId="77777777" w:rsidR="002A5824" w:rsidRPr="002A5824" w:rsidRDefault="002A5824" w:rsidP="002A5824">
      <w:pPr>
        <w:spacing w:after="0"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</w:p>
    <w:p w14:paraId="7FEA489C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2. Insatsen har stor bredd och berör många studenter </w:t>
      </w:r>
    </w:p>
    <w:p w14:paraId="59F09469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i/>
          <w:iCs/>
          <w:color w:val="000000"/>
          <w:kern w:val="0"/>
          <w:lang w:val="en-US" w:eastAsia="sv-SE"/>
          <w14:ligatures w14:val="none"/>
        </w:rPr>
        <w:t>The activity is substantial and many students are/will be engaged </w:t>
      </w:r>
    </w:p>
    <w:p w14:paraId="7D7A7734" w14:textId="77777777" w:rsidR="002A5824" w:rsidRPr="002A5824" w:rsidRDefault="002A5824" w:rsidP="002A5824">
      <w:pPr>
        <w:spacing w:after="0"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</w:p>
    <w:p w14:paraId="5E3BF7C8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3. Insatsen bidrar till att öka studenternas globala kunskapsperspektiv</w:t>
      </w:r>
    </w:p>
    <w:p w14:paraId="3D9D9118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i/>
          <w:iCs/>
          <w:color w:val="000000"/>
          <w:kern w:val="0"/>
          <w:lang w:val="en-US" w:eastAsia="sv-SE"/>
          <w14:ligatures w14:val="none"/>
        </w:rPr>
        <w:t>The activity increases the student’s knowledge about global perspectives</w:t>
      </w:r>
    </w:p>
    <w:p w14:paraId="60D40C99" w14:textId="77777777" w:rsidR="002A5824" w:rsidRPr="002A5824" w:rsidRDefault="002A5824" w:rsidP="002A5824">
      <w:pPr>
        <w:spacing w:after="0"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</w:p>
    <w:p w14:paraId="41F44357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4. Insatsen uppfattas som nytänkande</w:t>
      </w:r>
    </w:p>
    <w:p w14:paraId="52C840D0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i/>
          <w:iCs/>
          <w:color w:val="000000"/>
          <w:kern w:val="0"/>
          <w:lang w:eastAsia="sv-SE"/>
          <w14:ligatures w14:val="none"/>
        </w:rPr>
        <w:t xml:space="preserve">The </w:t>
      </w:r>
      <w:proofErr w:type="spellStart"/>
      <w:r w:rsidRPr="002A5824">
        <w:rPr>
          <w:rFonts w:ascii="DM Sans" w:eastAsia="Times New Roman" w:hAnsi="DM Sans" w:cs="Calibri"/>
          <w:i/>
          <w:iCs/>
          <w:color w:val="000000"/>
          <w:kern w:val="0"/>
          <w:lang w:eastAsia="sv-SE"/>
          <w14:ligatures w14:val="none"/>
        </w:rPr>
        <w:t>activity</w:t>
      </w:r>
      <w:proofErr w:type="spellEnd"/>
      <w:r w:rsidRPr="002A5824">
        <w:rPr>
          <w:rFonts w:ascii="DM Sans" w:eastAsia="Times New Roman" w:hAnsi="DM Sans" w:cs="Calibri"/>
          <w:i/>
          <w:iCs/>
          <w:color w:val="000000"/>
          <w:kern w:val="0"/>
          <w:lang w:eastAsia="sv-SE"/>
          <w14:ligatures w14:val="none"/>
        </w:rPr>
        <w:t xml:space="preserve"> is innovative </w:t>
      </w:r>
    </w:p>
    <w:p w14:paraId="676B4E17" w14:textId="77777777" w:rsidR="002A5824" w:rsidRPr="002A5824" w:rsidRDefault="002A5824" w:rsidP="002A5824">
      <w:pPr>
        <w:spacing w:after="0"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</w:p>
    <w:p w14:paraId="1A9FC317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eastAsia="sv-SE"/>
          <w14:ligatures w14:val="none"/>
        </w:rPr>
      </w:pPr>
      <w:r w:rsidRPr="002A5824">
        <w:rPr>
          <w:rFonts w:ascii="DM Sans" w:eastAsia="Times New Roman" w:hAnsi="DM Sans" w:cs="Calibri"/>
          <w:b/>
          <w:bCs/>
          <w:color w:val="000000"/>
          <w:kern w:val="0"/>
          <w:lang w:eastAsia="sv-SE"/>
          <w14:ligatures w14:val="none"/>
        </w:rPr>
        <w:t>5. Insatsen tar hänsyn till ansvarsfull internationalisering och FN:s globala hållbarhetsmål</w:t>
      </w:r>
    </w:p>
    <w:p w14:paraId="7E0C110F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i/>
          <w:iCs/>
          <w:color w:val="000000"/>
          <w:kern w:val="0"/>
          <w:lang w:val="en-US" w:eastAsia="sv-SE"/>
          <w14:ligatures w14:val="none"/>
        </w:rPr>
        <w:t>The activity considers responsible internationalization</w:t>
      </w:r>
      <w:r w:rsidRPr="002A5824">
        <w:rPr>
          <w:rFonts w:ascii="DM Sans" w:eastAsia="Times New Roman" w:hAnsi="DM Sans" w:cs="Calibri"/>
          <w:i/>
          <w:iCs/>
          <w:color w:val="000000"/>
          <w:kern w:val="0"/>
          <w:sz w:val="13"/>
          <w:szCs w:val="13"/>
          <w:vertAlign w:val="superscript"/>
          <w:lang w:val="en-US" w:eastAsia="sv-SE"/>
          <w14:ligatures w14:val="none"/>
        </w:rPr>
        <w:t>1</w:t>
      </w:r>
      <w:r w:rsidRPr="002A5824">
        <w:rPr>
          <w:rFonts w:ascii="DM Sans" w:eastAsia="Times New Roman" w:hAnsi="DM Sans" w:cs="Calibri"/>
          <w:i/>
          <w:iCs/>
          <w:color w:val="000000"/>
          <w:kern w:val="0"/>
          <w:lang w:val="en-US" w:eastAsia="sv-SE"/>
          <w14:ligatures w14:val="none"/>
        </w:rPr>
        <w:t xml:space="preserve"> and the UN Sustainable development goals</w:t>
      </w:r>
    </w:p>
    <w:p w14:paraId="2FF76622" w14:textId="77777777" w:rsidR="002A5824" w:rsidRPr="002A5824" w:rsidRDefault="002A5824" w:rsidP="002A5824">
      <w:pPr>
        <w:spacing w:after="0"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</w:p>
    <w:p w14:paraId="4115FF97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color w:val="000000"/>
          <w:kern w:val="0"/>
          <w:lang w:val="en-US" w:eastAsia="sv-SE"/>
          <w14:ligatures w14:val="none"/>
        </w:rPr>
        <w:t>Please rate the project/nominee in accordance with the following criteria:</w:t>
      </w:r>
    </w:p>
    <w:p w14:paraId="03FB2A83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color w:val="000000"/>
          <w:kern w:val="0"/>
          <w:lang w:val="en-US" w:eastAsia="sv-SE"/>
          <w14:ligatures w14:val="none"/>
        </w:rPr>
        <w:t>4 Very good (Strong application with minor weaknesses)</w:t>
      </w:r>
    </w:p>
    <w:p w14:paraId="559A9138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color w:val="000000"/>
          <w:kern w:val="0"/>
          <w:lang w:val="en-US" w:eastAsia="sv-SE"/>
          <w14:ligatures w14:val="none"/>
        </w:rPr>
        <w:t>3 Good (Some strengths, but also moderate weaknesses)</w:t>
      </w:r>
    </w:p>
    <w:p w14:paraId="25C202F0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color w:val="000000"/>
          <w:kern w:val="0"/>
          <w:lang w:val="en-US" w:eastAsia="sv-SE"/>
          <w14:ligatures w14:val="none"/>
        </w:rPr>
        <w:t>2 Weak (A few strengths, but also at least one major weakness or several minor weaknesses)</w:t>
      </w:r>
    </w:p>
    <w:p w14:paraId="1EF772C1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color w:val="000000"/>
          <w:kern w:val="0"/>
          <w:lang w:val="en-US" w:eastAsia="sv-SE"/>
          <w14:ligatures w14:val="none"/>
        </w:rPr>
        <w:t>1 Poor (Very few strengths, and numerous major weaknesses)</w:t>
      </w:r>
    </w:p>
    <w:p w14:paraId="15FA071F" w14:textId="77777777" w:rsidR="002A5824" w:rsidRPr="002A5824" w:rsidRDefault="002A5824" w:rsidP="002A5824">
      <w:pPr>
        <w:spacing w:after="0"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</w:p>
    <w:p w14:paraId="33EFDBCC" w14:textId="77777777" w:rsidR="002A5824" w:rsidRPr="002A5824" w:rsidRDefault="002A5824" w:rsidP="002A5824">
      <w:pPr>
        <w:spacing w:line="240" w:lineRule="auto"/>
        <w:rPr>
          <w:rFonts w:ascii="DM Sans" w:eastAsia="Times New Roman" w:hAnsi="DM Sans" w:cs="Times New Roman"/>
          <w:kern w:val="0"/>
          <w:sz w:val="24"/>
          <w:szCs w:val="24"/>
          <w:lang w:val="en-US" w:eastAsia="sv-SE"/>
          <w14:ligatures w14:val="none"/>
        </w:rPr>
      </w:pPr>
      <w:r w:rsidRPr="002A5824">
        <w:rPr>
          <w:rFonts w:ascii="DM Sans" w:eastAsia="Times New Roman" w:hAnsi="DM Sans" w:cs="Calibri"/>
          <w:color w:val="000000"/>
          <w:kern w:val="0"/>
          <w:lang w:val="en-US" w:eastAsia="sv-SE"/>
          <w14:ligatures w14:val="none"/>
        </w:rPr>
        <w:t>After the assessment at university level, the assessment of all candidates shall be put together in accordance with appendix 1, and sent to the administrative coordinator, together with a ranking of the candidates.</w:t>
      </w:r>
    </w:p>
    <w:p w14:paraId="0A4D7494" w14:textId="77777777" w:rsidR="003F4E96" w:rsidRPr="002A5824" w:rsidRDefault="003F4E96">
      <w:pPr>
        <w:rPr>
          <w:lang w:val="en-US"/>
        </w:rPr>
      </w:pPr>
    </w:p>
    <w:sectPr w:rsidR="003F4E96" w:rsidRPr="002A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24"/>
    <w:rsid w:val="002A5824"/>
    <w:rsid w:val="003F4E96"/>
    <w:rsid w:val="006D0A4B"/>
    <w:rsid w:val="00E5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08F3"/>
  <w15:chartTrackingRefBased/>
  <w15:docId w15:val="{D08E1969-4B51-498E-93C3-376A76A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1267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Hägg</dc:creator>
  <cp:keywords/>
  <dc:description/>
  <cp:lastModifiedBy>Emma Hägg</cp:lastModifiedBy>
  <cp:revision>2</cp:revision>
  <dcterms:created xsi:type="dcterms:W3CDTF">2024-01-08T14:54:00Z</dcterms:created>
  <dcterms:modified xsi:type="dcterms:W3CDTF">2024-01-08T14:56:00Z</dcterms:modified>
</cp:coreProperties>
</file>