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C6D7" w14:textId="77777777" w:rsidR="008D4A85" w:rsidRDefault="008D4A85" w:rsidP="00BA1675"/>
    <w:p w14:paraId="2723C57D" w14:textId="76CE3882" w:rsidR="000C3A6C" w:rsidRPr="00A57AC1" w:rsidRDefault="000527CF" w:rsidP="00BA1675">
      <w:r>
        <w:t>Dnr</w:t>
      </w:r>
    </w:p>
    <w:p w14:paraId="225C0D9A" w14:textId="77777777" w:rsidR="000C3A6C" w:rsidRPr="00A57AC1" w:rsidRDefault="000C3A6C" w:rsidP="00BA1675"/>
    <w:tbl>
      <w:tblPr>
        <w:tblStyle w:val="Tabellrutnt"/>
        <w:tblpPr w:leftFromText="141" w:rightFromText="141" w:vertAnchor="page" w:horzAnchor="page" w:tblpX="881" w:tblpY="6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73"/>
      </w:tblGrid>
      <w:tr w:rsidR="004A26CB" w:rsidRPr="00A57AC1" w14:paraId="0C1BF49D" w14:textId="77777777" w:rsidTr="00EB03D1">
        <w:tc>
          <w:tcPr>
            <w:tcW w:w="7773" w:type="dxa"/>
          </w:tcPr>
          <w:p w14:paraId="7AC253F6" w14:textId="7A219E98" w:rsidR="004A26CB" w:rsidRPr="00A57AC1" w:rsidRDefault="00EE2B4A" w:rsidP="004A26CB">
            <w:pPr>
              <w:pStyle w:val="Sidhuvud"/>
            </w:pPr>
            <w:r w:rsidRPr="00A57AC1">
              <w:rPr>
                <w:noProof/>
              </w:rPr>
              <w:drawing>
                <wp:inline distT="0" distB="0" distL="0" distR="0" wp14:anchorId="26A0DC1E" wp14:editId="042937C7">
                  <wp:extent cx="1805940" cy="739140"/>
                  <wp:effectExtent l="0" t="0" r="3810" b="3810"/>
                  <wp:docPr id="2" name="Bild 2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A85">
              <w:t xml:space="preserve">         Datum</w:t>
            </w:r>
          </w:p>
        </w:tc>
      </w:tr>
      <w:tr w:rsidR="000527CF" w:rsidRPr="00A57AC1" w14:paraId="32BAD06C" w14:textId="77777777" w:rsidTr="00EB03D1">
        <w:tc>
          <w:tcPr>
            <w:tcW w:w="7773" w:type="dxa"/>
          </w:tcPr>
          <w:p w14:paraId="07FDE806" w14:textId="77777777" w:rsidR="000527CF" w:rsidRPr="00A57AC1" w:rsidRDefault="000527CF" w:rsidP="004A26CB">
            <w:pPr>
              <w:pStyle w:val="Sidhuvud"/>
              <w:rPr>
                <w:noProof/>
              </w:rPr>
            </w:pPr>
          </w:p>
        </w:tc>
      </w:tr>
      <w:tr w:rsidR="008D4A85" w:rsidRPr="00A57AC1" w14:paraId="50E604C5" w14:textId="77777777" w:rsidTr="00EB03D1">
        <w:tc>
          <w:tcPr>
            <w:tcW w:w="7773" w:type="dxa"/>
          </w:tcPr>
          <w:p w14:paraId="59F96D61" w14:textId="77777777" w:rsidR="008D4A85" w:rsidRPr="00A57AC1" w:rsidRDefault="008D4A85" w:rsidP="004A26CB">
            <w:pPr>
              <w:pStyle w:val="Sidhuvud"/>
              <w:rPr>
                <w:noProof/>
              </w:rPr>
            </w:pPr>
          </w:p>
        </w:tc>
      </w:tr>
    </w:tbl>
    <w:p w14:paraId="3529BED9" w14:textId="77777777" w:rsidR="000527CF" w:rsidRDefault="000527CF" w:rsidP="0066374B">
      <w:pPr>
        <w:pStyle w:val="Rubrik1"/>
      </w:pPr>
      <w:bookmarkStart w:id="0" w:name="_Toc63328673"/>
      <w:bookmarkStart w:id="1" w:name="_Toc76985450"/>
    </w:p>
    <w:p w14:paraId="78BA71B4" w14:textId="73E1B6AB" w:rsidR="00496F7D" w:rsidRDefault="00056AB9" w:rsidP="0066374B">
      <w:pPr>
        <w:pStyle w:val="Rubrik1"/>
      </w:pPr>
      <w:r>
        <w:t xml:space="preserve">Mall för </w:t>
      </w:r>
      <w:r w:rsidR="00EB03D1">
        <w:t>k</w:t>
      </w:r>
      <w:r w:rsidR="00496F7D" w:rsidRPr="0066374B">
        <w:t>onsekvensbedömning</w:t>
      </w:r>
      <w:bookmarkEnd w:id="0"/>
      <w:bookmarkEnd w:id="1"/>
      <w:r w:rsidR="00EB03D1">
        <w:t xml:space="preserve"> avseende dataskydd</w:t>
      </w:r>
    </w:p>
    <w:p w14:paraId="56A8A1A6" w14:textId="1E4E526C" w:rsidR="00EB03D1" w:rsidRDefault="00EB03D1" w:rsidP="00EB03D1"/>
    <w:p w14:paraId="3DBCA90A" w14:textId="5E87AC7C" w:rsidR="00EB03D1" w:rsidRDefault="00EB03D1" w:rsidP="00EB03D1">
      <w:r>
        <w:t>Till denna mall finns Anvisningar för konsekvensbedömning avseende dataskydd</w:t>
      </w:r>
      <w:r w:rsidR="000527CF">
        <w:t xml:space="preserve">. I anvisningarna beskrivs vad en konsekvensbedömning är, </w:t>
      </w:r>
      <w:r w:rsidR="00F94E34" w:rsidRPr="00046F7F">
        <w:t xml:space="preserve">om och </w:t>
      </w:r>
      <w:r w:rsidR="000527CF" w:rsidRPr="00046F7F">
        <w:t>när en sådan ska göras och hur den ska genomföras.</w:t>
      </w:r>
    </w:p>
    <w:p w14:paraId="1CA887D1" w14:textId="67051CCB" w:rsidR="000527CF" w:rsidRDefault="000527CF" w:rsidP="00EB03D1"/>
    <w:p w14:paraId="4A2E8810" w14:textId="0EF4502E" w:rsidR="000527CF" w:rsidRPr="000527CF" w:rsidRDefault="000527CF" w:rsidP="00EB03D1">
      <w:pPr>
        <w:rPr>
          <w:b/>
          <w:bCs/>
        </w:rPr>
      </w:pPr>
      <w:r w:rsidRPr="000527CF">
        <w:rPr>
          <w:b/>
          <w:bCs/>
        </w:rPr>
        <w:t>Projekt/ärende</w:t>
      </w:r>
    </w:p>
    <w:p w14:paraId="2AF982EB" w14:textId="41203C3A" w:rsidR="000527CF" w:rsidRDefault="000527CF" w:rsidP="00EB03D1"/>
    <w:p w14:paraId="0CB34228" w14:textId="53FDBE24" w:rsidR="000527CF" w:rsidRDefault="000527CF" w:rsidP="00EB03D1"/>
    <w:p w14:paraId="26DE8886" w14:textId="77777777" w:rsidR="000527CF" w:rsidRDefault="000527CF" w:rsidP="00EB03D1">
      <w:pPr>
        <w:rPr>
          <w:b/>
          <w:bCs/>
        </w:rPr>
      </w:pPr>
    </w:p>
    <w:p w14:paraId="48743B1A" w14:textId="4DB4A9AF" w:rsidR="000527CF" w:rsidRDefault="000527CF" w:rsidP="00EB03D1">
      <w:pPr>
        <w:rPr>
          <w:b/>
          <w:bCs/>
        </w:rPr>
      </w:pPr>
      <w:r>
        <w:rPr>
          <w:b/>
          <w:bCs/>
        </w:rPr>
        <w:t>Medverkande</w:t>
      </w:r>
    </w:p>
    <w:p w14:paraId="30C93E40" w14:textId="3365F85D" w:rsidR="000527CF" w:rsidRDefault="000527CF" w:rsidP="00EB03D1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</w:tblGrid>
      <w:tr w:rsidR="00861870" w14:paraId="2528CC27" w14:textId="77777777" w:rsidTr="00861870">
        <w:tc>
          <w:tcPr>
            <w:tcW w:w="2587" w:type="dxa"/>
          </w:tcPr>
          <w:p w14:paraId="0D057E58" w14:textId="7BACB510" w:rsidR="00861870" w:rsidRPr="00E34747" w:rsidRDefault="00E34747" w:rsidP="00496F7D">
            <w:pPr>
              <w:rPr>
                <w:rFonts w:eastAsia="Calibri"/>
                <w:b/>
                <w:bCs/>
                <w:i/>
                <w:iCs/>
              </w:rPr>
            </w:pPr>
            <w:r w:rsidRPr="00E34747">
              <w:rPr>
                <w:rFonts w:eastAsia="Calibri"/>
                <w:b/>
                <w:bCs/>
                <w:i/>
                <w:iCs/>
              </w:rPr>
              <w:t>Namn</w:t>
            </w:r>
          </w:p>
        </w:tc>
        <w:tc>
          <w:tcPr>
            <w:tcW w:w="2588" w:type="dxa"/>
          </w:tcPr>
          <w:p w14:paraId="26CCAE13" w14:textId="32D77CC7" w:rsidR="00861870" w:rsidRPr="00E34747" w:rsidRDefault="00E34747" w:rsidP="00496F7D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Kontaktuppgifter </w:t>
            </w:r>
            <w:r>
              <w:rPr>
                <w:rFonts w:eastAsia="Calibri"/>
                <w:b/>
                <w:bCs/>
                <w:i/>
                <w:iCs/>
              </w:rPr>
              <w:br/>
              <w:t>(e-post/</w:t>
            </w:r>
            <w:proofErr w:type="spellStart"/>
            <w:r>
              <w:rPr>
                <w:rFonts w:eastAsia="Calibri"/>
                <w:b/>
                <w:bCs/>
                <w:i/>
                <w:iCs/>
              </w:rPr>
              <w:t>mobilnr</w:t>
            </w:r>
            <w:proofErr w:type="spellEnd"/>
            <w:r>
              <w:rPr>
                <w:rFonts w:eastAsia="Calibri"/>
                <w:b/>
                <w:bCs/>
                <w:i/>
                <w:iCs/>
              </w:rPr>
              <w:t>)</w:t>
            </w:r>
          </w:p>
        </w:tc>
        <w:tc>
          <w:tcPr>
            <w:tcW w:w="2588" w:type="dxa"/>
          </w:tcPr>
          <w:p w14:paraId="153ECC1A" w14:textId="54EA1293" w:rsidR="00861870" w:rsidRPr="00E34747" w:rsidRDefault="00E34747" w:rsidP="00496F7D">
            <w:pPr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Roll</w:t>
            </w:r>
          </w:p>
        </w:tc>
      </w:tr>
      <w:tr w:rsidR="00861870" w14:paraId="1D173EEE" w14:textId="77777777" w:rsidTr="00861870">
        <w:tc>
          <w:tcPr>
            <w:tcW w:w="2587" w:type="dxa"/>
          </w:tcPr>
          <w:p w14:paraId="119FC3C3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3925C87D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7989232C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0F75B88B" w14:textId="77777777" w:rsidTr="00861870">
        <w:tc>
          <w:tcPr>
            <w:tcW w:w="2587" w:type="dxa"/>
          </w:tcPr>
          <w:p w14:paraId="277A564C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1B4D5C5B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1DCD220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34C2A6E3" w14:textId="77777777" w:rsidTr="00861870">
        <w:tc>
          <w:tcPr>
            <w:tcW w:w="2587" w:type="dxa"/>
          </w:tcPr>
          <w:p w14:paraId="493E02CF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6AFEA600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46332FEE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32D3D9BB" w14:textId="77777777" w:rsidTr="00861870">
        <w:tc>
          <w:tcPr>
            <w:tcW w:w="2587" w:type="dxa"/>
          </w:tcPr>
          <w:p w14:paraId="28E0CC50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530AEFD4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659F7EE4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08A95821" w14:textId="77777777" w:rsidTr="00861870">
        <w:tc>
          <w:tcPr>
            <w:tcW w:w="2587" w:type="dxa"/>
          </w:tcPr>
          <w:p w14:paraId="3CF0AA79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77C8B181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694EA1FD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65E87D29" w14:textId="77777777" w:rsidTr="00861870">
        <w:tc>
          <w:tcPr>
            <w:tcW w:w="2587" w:type="dxa"/>
          </w:tcPr>
          <w:p w14:paraId="5795E693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2CBB7191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2E008B30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2B7B188F" w14:textId="77777777" w:rsidTr="00861870">
        <w:tc>
          <w:tcPr>
            <w:tcW w:w="2587" w:type="dxa"/>
          </w:tcPr>
          <w:p w14:paraId="6F3C8A16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08A601D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5795DE39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79236724" w14:textId="77777777" w:rsidTr="00861870">
        <w:tc>
          <w:tcPr>
            <w:tcW w:w="2587" w:type="dxa"/>
          </w:tcPr>
          <w:p w14:paraId="289F8006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9FF1F94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1B6B297D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205BF82C" w14:textId="77777777" w:rsidTr="00861870">
        <w:tc>
          <w:tcPr>
            <w:tcW w:w="2587" w:type="dxa"/>
          </w:tcPr>
          <w:p w14:paraId="088ABFC0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4DEACD51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43D3687A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61870" w14:paraId="4D3488A3" w14:textId="77777777" w:rsidTr="00861870">
        <w:tc>
          <w:tcPr>
            <w:tcW w:w="2587" w:type="dxa"/>
          </w:tcPr>
          <w:p w14:paraId="0FB2622E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496D30C3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7CF48F90" w14:textId="77777777" w:rsidR="00861870" w:rsidRDefault="00861870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34747" w14:paraId="7A84199B" w14:textId="77777777" w:rsidTr="00861870">
        <w:tc>
          <w:tcPr>
            <w:tcW w:w="2587" w:type="dxa"/>
          </w:tcPr>
          <w:p w14:paraId="4DEFBF9C" w14:textId="77777777" w:rsidR="00E34747" w:rsidRDefault="00E34747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196A1B6" w14:textId="77777777" w:rsidR="00E34747" w:rsidRDefault="00E34747" w:rsidP="00496F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AC67506" w14:textId="77777777" w:rsidR="00E34747" w:rsidRDefault="00E34747" w:rsidP="00496F7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343D9EEE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102FA1FD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7F0EEE20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6BE9F9BA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47AA0D0F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2E3C6B84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09BFAFEA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51478A92" w14:textId="77777777" w:rsidR="000527CF" w:rsidRDefault="000527CF" w:rsidP="00496F7D">
      <w:pPr>
        <w:rPr>
          <w:rFonts w:eastAsia="Calibri"/>
          <w:sz w:val="28"/>
          <w:szCs w:val="28"/>
        </w:rPr>
      </w:pPr>
    </w:p>
    <w:p w14:paraId="65A796E8" w14:textId="77777777" w:rsidR="0035477E" w:rsidRDefault="0035477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2B2358C0" w14:textId="64E479B9" w:rsidR="00D91CA7" w:rsidRPr="008D4A85" w:rsidRDefault="00D91CA7" w:rsidP="00D91CA7">
      <w:pPr>
        <w:rPr>
          <w:rFonts w:eastAsia="Calibri"/>
          <w:b/>
          <w:bCs/>
          <w:sz w:val="28"/>
          <w:szCs w:val="28"/>
        </w:rPr>
      </w:pPr>
      <w:r w:rsidRPr="008D4A85">
        <w:rPr>
          <w:rFonts w:eastAsia="Calibri"/>
          <w:b/>
          <w:bCs/>
          <w:sz w:val="28"/>
          <w:szCs w:val="28"/>
        </w:rPr>
        <w:lastRenderedPageBreak/>
        <w:t>1</w:t>
      </w:r>
      <w:r w:rsidR="008D4A85" w:rsidRPr="008D4A85">
        <w:rPr>
          <w:rFonts w:eastAsia="Calibri"/>
          <w:b/>
          <w:bCs/>
          <w:sz w:val="28"/>
          <w:szCs w:val="28"/>
        </w:rPr>
        <w:t>.</w:t>
      </w:r>
      <w:r w:rsidRPr="008D4A85">
        <w:rPr>
          <w:rFonts w:eastAsia="Calibri"/>
          <w:b/>
          <w:bCs/>
          <w:sz w:val="28"/>
          <w:szCs w:val="28"/>
        </w:rPr>
        <w:t xml:space="preserve"> Beskriv personuppgiftsbehandlingen och dess syfte</w:t>
      </w:r>
    </w:p>
    <w:p w14:paraId="06109173" w14:textId="77777777" w:rsidR="00D91CA7" w:rsidRPr="00C051D3" w:rsidRDefault="00D91CA7" w:rsidP="00D91CA7">
      <w:pPr>
        <w:rPr>
          <w:rFonts w:eastAsia="Calibri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D91CA7" w:rsidRPr="00046F7F" w14:paraId="12E12267" w14:textId="77777777" w:rsidTr="00C04217">
        <w:trPr>
          <w:trHeight w:val="1199"/>
        </w:trPr>
        <w:tc>
          <w:tcPr>
            <w:tcW w:w="8595" w:type="dxa"/>
          </w:tcPr>
          <w:p w14:paraId="44A89822" w14:textId="4BF7316B" w:rsidR="00D91CA7" w:rsidRPr="00046F7F" w:rsidRDefault="00D91CA7" w:rsidP="00C04217">
            <w:pPr>
              <w:rPr>
                <w:rFonts w:eastAsia="Calibri"/>
              </w:rPr>
            </w:pPr>
            <w:bookmarkStart w:id="2" w:name="_Hlk63081191"/>
            <w:r w:rsidRPr="00046F7F">
              <w:rPr>
                <w:rFonts w:eastAsia="Calibri"/>
              </w:rPr>
              <w:t xml:space="preserve">Fyll här i en </w:t>
            </w:r>
            <w:r w:rsidR="00F94E34" w:rsidRPr="00046F7F">
              <w:rPr>
                <w:rFonts w:eastAsia="Calibri"/>
              </w:rPr>
              <w:t xml:space="preserve">kort </w:t>
            </w:r>
            <w:r w:rsidRPr="00046F7F">
              <w:rPr>
                <w:rFonts w:eastAsia="Calibri"/>
              </w:rPr>
              <w:t>beskrivning av personuppgiftsbehandlingen och syftet med den, dvs. vad ni vill uppnå med behandlingen</w:t>
            </w:r>
            <w:r w:rsidR="00F94E34" w:rsidRPr="00046F7F">
              <w:rPr>
                <w:rFonts w:eastAsia="Calibri"/>
              </w:rPr>
              <w:t>, vilka personuppgifter som behandlas, var personuppgifterna kommer lagras/sparas och hur länge samt om någon person/organisation som inte hör till KI ska ta del av uppgifterna</w:t>
            </w:r>
            <w:r w:rsidR="0035477E" w:rsidRPr="00046F7F">
              <w:rPr>
                <w:rFonts w:eastAsia="Calibri"/>
              </w:rPr>
              <w:t>.</w:t>
            </w:r>
          </w:p>
        </w:tc>
      </w:tr>
      <w:tr w:rsidR="00D91CA7" w14:paraId="07B8D5B9" w14:textId="77777777" w:rsidTr="00C04217">
        <w:trPr>
          <w:trHeight w:val="9483"/>
        </w:trPr>
        <w:tc>
          <w:tcPr>
            <w:tcW w:w="8595" w:type="dxa"/>
          </w:tcPr>
          <w:p w14:paraId="61F178EC" w14:textId="77777777" w:rsidR="00D91CA7" w:rsidRDefault="00D91CA7" w:rsidP="00C04217">
            <w:pPr>
              <w:rPr>
                <w:rFonts w:eastAsia="Calibri"/>
              </w:rPr>
            </w:pPr>
          </w:p>
        </w:tc>
      </w:tr>
      <w:bookmarkEnd w:id="2"/>
    </w:tbl>
    <w:p w14:paraId="58EBC178" w14:textId="77777777" w:rsidR="00D91CA7" w:rsidRDefault="00D91CA7" w:rsidP="00D91CA7">
      <w:pPr>
        <w:rPr>
          <w:rFonts w:eastAsia="Calibri"/>
        </w:rPr>
      </w:pPr>
    </w:p>
    <w:p w14:paraId="6769F953" w14:textId="77777777" w:rsidR="00D91CA7" w:rsidRDefault="00D91CA7" w:rsidP="00D91CA7">
      <w:pPr>
        <w:rPr>
          <w:rFonts w:eastAsia="Calibri"/>
        </w:rPr>
      </w:pPr>
      <w:r>
        <w:rPr>
          <w:rFonts w:eastAsia="Calibri"/>
        </w:rPr>
        <w:br w:type="page"/>
      </w:r>
    </w:p>
    <w:p w14:paraId="23A8F74F" w14:textId="309EAA86" w:rsidR="00496F7D" w:rsidRPr="00BC068E" w:rsidRDefault="005F56F6" w:rsidP="00496F7D">
      <w:pPr>
        <w:rPr>
          <w:rFonts w:eastAsia="Calibri"/>
          <w:b/>
          <w:bCs/>
          <w:sz w:val="28"/>
          <w:szCs w:val="28"/>
        </w:rPr>
      </w:pPr>
      <w:r w:rsidRPr="00BC068E">
        <w:rPr>
          <w:rFonts w:eastAsia="Calibri"/>
          <w:b/>
          <w:bCs/>
          <w:sz w:val="28"/>
          <w:szCs w:val="28"/>
        </w:rPr>
        <w:lastRenderedPageBreak/>
        <w:t>2</w:t>
      </w:r>
      <w:r w:rsidR="008D4A85" w:rsidRPr="00BC068E">
        <w:rPr>
          <w:rFonts w:eastAsia="Calibri"/>
          <w:b/>
          <w:bCs/>
          <w:sz w:val="28"/>
          <w:szCs w:val="28"/>
        </w:rPr>
        <w:t>.</w:t>
      </w:r>
      <w:r w:rsidR="00496F7D" w:rsidRPr="00BC068E">
        <w:rPr>
          <w:rFonts w:eastAsia="Calibri"/>
          <w:b/>
          <w:bCs/>
          <w:sz w:val="28"/>
          <w:szCs w:val="28"/>
        </w:rPr>
        <w:t xml:space="preserve"> </w:t>
      </w:r>
      <w:r w:rsidR="008702F9" w:rsidRPr="00BC068E">
        <w:rPr>
          <w:rFonts w:eastAsia="Calibri"/>
          <w:b/>
          <w:bCs/>
          <w:sz w:val="28"/>
          <w:szCs w:val="28"/>
        </w:rPr>
        <w:t xml:space="preserve">Beskriv </w:t>
      </w:r>
      <w:r w:rsidR="00ED6689" w:rsidRPr="00BC068E">
        <w:rPr>
          <w:rFonts w:eastAsia="Calibri"/>
          <w:b/>
          <w:bCs/>
          <w:sz w:val="28"/>
          <w:szCs w:val="28"/>
        </w:rPr>
        <w:t>omfattningen av personuppgiftsbehandlingen</w:t>
      </w:r>
    </w:p>
    <w:p w14:paraId="2424615A" w14:textId="77777777" w:rsidR="00496F7D" w:rsidRPr="00CE6C31" w:rsidRDefault="00496F7D" w:rsidP="00496F7D">
      <w:pPr>
        <w:rPr>
          <w:rFonts w:eastAsia="Calibri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96F7D" w:rsidRPr="00046F7F" w14:paraId="725F9D18" w14:textId="77777777" w:rsidTr="001E7444">
        <w:trPr>
          <w:trHeight w:val="908"/>
        </w:trPr>
        <w:tc>
          <w:tcPr>
            <w:tcW w:w="8595" w:type="dxa"/>
          </w:tcPr>
          <w:p w14:paraId="22B77065" w14:textId="36B49BAD" w:rsidR="00496F7D" w:rsidRPr="00046F7F" w:rsidRDefault="00ED6689" w:rsidP="001E7444">
            <w:pPr>
              <w:rPr>
                <w:rFonts w:eastAsia="Calibri"/>
              </w:rPr>
            </w:pPr>
            <w:r w:rsidRPr="00046F7F">
              <w:rPr>
                <w:rFonts w:eastAsia="Calibri"/>
              </w:rPr>
              <w:t>Redogör för vilka personuppgifter som kommer att behandlas, om det är känsliga personuppgifter ell</w:t>
            </w:r>
            <w:r w:rsidR="00BC068E" w:rsidRPr="00046F7F">
              <w:rPr>
                <w:rFonts w:eastAsia="Calibri"/>
              </w:rPr>
              <w:t>e</w:t>
            </w:r>
            <w:r w:rsidRPr="00046F7F">
              <w:rPr>
                <w:rFonts w:eastAsia="Calibri"/>
              </w:rPr>
              <w:t>r personuppgifter som rör lagöverträdelser, hur många registrerade det är fråga om</w:t>
            </w:r>
            <w:r w:rsidR="00F94E34" w:rsidRPr="00046F7F">
              <w:rPr>
                <w:rFonts w:eastAsia="Calibri"/>
              </w:rPr>
              <w:t>, hur länge behandlingen planeras pågå</w:t>
            </w:r>
            <w:r w:rsidRPr="00046F7F">
              <w:rPr>
                <w:rFonts w:eastAsia="Calibri"/>
              </w:rPr>
              <w:t xml:space="preserve"> samt om det finns anledning anta att den registrerade är i ett underläge eller i beroendeställning och därme</w:t>
            </w:r>
            <w:r w:rsidR="00BC068E" w:rsidRPr="00046F7F">
              <w:rPr>
                <w:rFonts w:eastAsia="Calibri"/>
              </w:rPr>
              <w:t>d</w:t>
            </w:r>
            <w:r w:rsidRPr="00046F7F">
              <w:rPr>
                <w:rFonts w:eastAsia="Calibri"/>
              </w:rPr>
              <w:t xml:space="preserve"> mer sårbar.</w:t>
            </w:r>
          </w:p>
        </w:tc>
      </w:tr>
      <w:tr w:rsidR="00496F7D" w14:paraId="6A22362D" w14:textId="77777777" w:rsidTr="00496F7D">
        <w:trPr>
          <w:trHeight w:val="7923"/>
        </w:trPr>
        <w:tc>
          <w:tcPr>
            <w:tcW w:w="8595" w:type="dxa"/>
          </w:tcPr>
          <w:p w14:paraId="591A89B8" w14:textId="77777777" w:rsidR="00496F7D" w:rsidRDefault="00496F7D" w:rsidP="001E7444">
            <w:pPr>
              <w:rPr>
                <w:rFonts w:eastAsia="Calibri"/>
              </w:rPr>
            </w:pPr>
          </w:p>
        </w:tc>
      </w:tr>
    </w:tbl>
    <w:p w14:paraId="3D85507D" w14:textId="77777777" w:rsidR="00496F7D" w:rsidRDefault="00496F7D" w:rsidP="00496F7D">
      <w:pPr>
        <w:rPr>
          <w:rFonts w:eastAsia="Calibri"/>
        </w:rPr>
      </w:pPr>
    </w:p>
    <w:p w14:paraId="1536212C" w14:textId="77777777" w:rsidR="00B039FF" w:rsidRDefault="00B039FF">
      <w:pPr>
        <w:rPr>
          <w:rFonts w:eastAsia="Calibri"/>
          <w:sz w:val="28"/>
          <w:szCs w:val="28"/>
        </w:rPr>
      </w:pPr>
      <w:bookmarkStart w:id="3" w:name="_Hlk63084211"/>
      <w:r>
        <w:rPr>
          <w:rFonts w:eastAsia="Calibri"/>
          <w:sz w:val="28"/>
          <w:szCs w:val="28"/>
        </w:rPr>
        <w:br w:type="page"/>
      </w:r>
    </w:p>
    <w:bookmarkEnd w:id="3"/>
    <w:p w14:paraId="459EC9D8" w14:textId="05A6D5B2" w:rsidR="000A5401" w:rsidRPr="00BC068E" w:rsidRDefault="000A5401" w:rsidP="000A5401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</w:t>
      </w:r>
      <w:r w:rsidRPr="00BC068E">
        <w:rPr>
          <w:rFonts w:eastAsia="Calibri"/>
          <w:b/>
          <w:bCs/>
          <w:sz w:val="28"/>
          <w:szCs w:val="28"/>
        </w:rPr>
        <w:t>. Be</w:t>
      </w:r>
      <w:r>
        <w:rPr>
          <w:rFonts w:eastAsia="Calibri"/>
          <w:b/>
          <w:bCs/>
          <w:sz w:val="28"/>
          <w:szCs w:val="28"/>
        </w:rPr>
        <w:t xml:space="preserve">döm om </w:t>
      </w:r>
      <w:r w:rsidRPr="00BC068E">
        <w:rPr>
          <w:rFonts w:eastAsia="Calibri"/>
          <w:b/>
          <w:bCs/>
          <w:sz w:val="28"/>
          <w:szCs w:val="28"/>
        </w:rPr>
        <w:t>personuppgiftsbehandlingen</w:t>
      </w:r>
      <w:r>
        <w:rPr>
          <w:rFonts w:eastAsia="Calibri"/>
          <w:b/>
          <w:bCs/>
          <w:sz w:val="28"/>
          <w:szCs w:val="28"/>
        </w:rPr>
        <w:t xml:space="preserve"> är nödvändig och proportionell i förhållande till syftet</w:t>
      </w:r>
    </w:p>
    <w:p w14:paraId="5E8AF355" w14:textId="1F7116B1" w:rsidR="00496F7D" w:rsidRDefault="00496F7D" w:rsidP="00496F7D">
      <w:pPr>
        <w:rPr>
          <w:rFonts w:eastAsia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96F7D" w14:paraId="469D1DAE" w14:textId="77777777" w:rsidTr="001E7444">
        <w:trPr>
          <w:trHeight w:val="1550"/>
        </w:trPr>
        <w:tc>
          <w:tcPr>
            <w:tcW w:w="8595" w:type="dxa"/>
          </w:tcPr>
          <w:p w14:paraId="22C3A4FC" w14:textId="1A5BE44A" w:rsidR="00496F7D" w:rsidRDefault="00651B0B" w:rsidP="001E7444">
            <w:pPr>
              <w:rPr>
                <w:rFonts w:eastAsia="Calibri"/>
              </w:rPr>
            </w:pPr>
            <w:bookmarkStart w:id="4" w:name="_Hlk63082622"/>
            <w:r>
              <w:rPr>
                <w:rFonts w:eastAsia="Calibri"/>
              </w:rPr>
              <w:t xml:space="preserve">Ange den rättsliga grunden för behandlingen. </w:t>
            </w:r>
            <w:r w:rsidR="00F94E34" w:rsidRPr="00046F7F">
              <w:rPr>
                <w:rFonts w:eastAsia="Calibri"/>
              </w:rPr>
              <w:t xml:space="preserve">Vid behandling för forskningsändamål är den rättsliga grunden </w:t>
            </w:r>
            <w:r w:rsidR="00F94E34" w:rsidRPr="00046F7F">
              <w:rPr>
                <w:rFonts w:eastAsia="Calibri"/>
                <w:i/>
                <w:iCs/>
              </w:rPr>
              <w:t xml:space="preserve">nödvändig behandling för att utföra </w:t>
            </w:r>
            <w:r w:rsidR="00567744" w:rsidRPr="00046F7F">
              <w:rPr>
                <w:rFonts w:eastAsia="Calibri"/>
                <w:i/>
                <w:iCs/>
              </w:rPr>
              <w:t xml:space="preserve">en uppgift av </w:t>
            </w:r>
            <w:r w:rsidR="00F94E34" w:rsidRPr="00046F7F">
              <w:rPr>
                <w:rFonts w:eastAsia="Calibri"/>
                <w:i/>
                <w:iCs/>
              </w:rPr>
              <w:t xml:space="preserve">allmänt </w:t>
            </w:r>
            <w:r w:rsidR="00F94E34" w:rsidRPr="00046F7F">
              <w:rPr>
                <w:rFonts w:eastAsia="Calibri"/>
              </w:rPr>
              <w:t xml:space="preserve">intresse. </w:t>
            </w:r>
            <w:r w:rsidR="00496F7D" w:rsidRPr="00046F7F">
              <w:rPr>
                <w:rFonts w:eastAsia="Calibri"/>
              </w:rPr>
              <w:t>Beskriv</w:t>
            </w:r>
            <w:r>
              <w:rPr>
                <w:rFonts w:eastAsia="Calibri"/>
              </w:rPr>
              <w:t xml:space="preserve"> </w:t>
            </w:r>
            <w:r w:rsidR="000A5401">
              <w:rPr>
                <w:rFonts w:eastAsia="Calibri"/>
              </w:rPr>
              <w:t>om behandlingen är nödvändig för ändamålet eller om det finns andra sätt att nå</w:t>
            </w:r>
            <w:r>
              <w:rPr>
                <w:rFonts w:eastAsia="Calibri"/>
              </w:rPr>
              <w:t xml:space="preserve"> syftet. Redogör också för hur kvaliteten i </w:t>
            </w:r>
            <w:proofErr w:type="spellStart"/>
            <w:r>
              <w:rPr>
                <w:rFonts w:eastAsia="Calibri"/>
              </w:rPr>
              <w:t>datan</w:t>
            </w:r>
            <w:proofErr w:type="spellEnd"/>
            <w:r>
              <w:rPr>
                <w:rFonts w:eastAsia="Calibri"/>
              </w:rPr>
              <w:t xml:space="preserve"> och lagrings- och uppgiftsminimering säkerställs.</w:t>
            </w:r>
          </w:p>
        </w:tc>
      </w:tr>
      <w:tr w:rsidR="00496F7D" w14:paraId="523CA15C" w14:textId="77777777" w:rsidTr="00496F7D">
        <w:trPr>
          <w:trHeight w:val="9483"/>
        </w:trPr>
        <w:tc>
          <w:tcPr>
            <w:tcW w:w="8595" w:type="dxa"/>
          </w:tcPr>
          <w:p w14:paraId="148876A7" w14:textId="77777777" w:rsidR="00496F7D" w:rsidRDefault="00496F7D" w:rsidP="001E7444">
            <w:pPr>
              <w:rPr>
                <w:rFonts w:eastAsia="Calibri"/>
              </w:rPr>
            </w:pPr>
          </w:p>
        </w:tc>
      </w:tr>
      <w:bookmarkEnd w:id="4"/>
    </w:tbl>
    <w:p w14:paraId="7B072534" w14:textId="0B4D59C0" w:rsidR="0089039A" w:rsidRDefault="0089039A" w:rsidP="00496F7D">
      <w:pPr>
        <w:rPr>
          <w:rFonts w:eastAsia="Calibri"/>
        </w:rPr>
      </w:pPr>
    </w:p>
    <w:p w14:paraId="3178E47B" w14:textId="77777777" w:rsidR="0089039A" w:rsidRDefault="0089039A">
      <w:pPr>
        <w:rPr>
          <w:rFonts w:eastAsia="Calibri"/>
        </w:rPr>
      </w:pPr>
      <w:r>
        <w:rPr>
          <w:rFonts w:eastAsia="Calibri"/>
        </w:rPr>
        <w:br w:type="page"/>
      </w:r>
    </w:p>
    <w:p w14:paraId="5FF58A87" w14:textId="545D1DE7" w:rsidR="00F054F4" w:rsidRPr="00BC068E" w:rsidRDefault="00F054F4" w:rsidP="00F054F4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4</w:t>
      </w:r>
      <w:r w:rsidRPr="00BC068E">
        <w:rPr>
          <w:rFonts w:eastAsia="Calibri"/>
          <w:b/>
          <w:bCs/>
          <w:sz w:val="28"/>
          <w:szCs w:val="28"/>
        </w:rPr>
        <w:t>. Be</w:t>
      </w:r>
      <w:r>
        <w:rPr>
          <w:rFonts w:eastAsia="Calibri"/>
          <w:b/>
          <w:bCs/>
          <w:sz w:val="28"/>
          <w:szCs w:val="28"/>
        </w:rPr>
        <w:t>döm identifierade risker för de registrerades fri- och rättigheter</w:t>
      </w:r>
    </w:p>
    <w:p w14:paraId="0391CC0A" w14:textId="77777777" w:rsidR="00496F7D" w:rsidRDefault="00496F7D" w:rsidP="00496F7D">
      <w:pPr>
        <w:rPr>
          <w:rFonts w:eastAsia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96F7D" w14:paraId="0062A544" w14:textId="77777777" w:rsidTr="001E7444">
        <w:trPr>
          <w:trHeight w:val="2117"/>
        </w:trPr>
        <w:tc>
          <w:tcPr>
            <w:tcW w:w="8595" w:type="dxa"/>
          </w:tcPr>
          <w:p w14:paraId="39AA9AAC" w14:textId="7B2E1C41" w:rsidR="00046F7F" w:rsidRPr="00046F7F" w:rsidRDefault="00496F7D" w:rsidP="00046F7F">
            <w:pPr>
              <w:rPr>
                <w:sz w:val="22"/>
                <w:szCs w:val="22"/>
              </w:rPr>
            </w:pPr>
            <w:bookmarkStart w:id="5" w:name="_Hlk74676147"/>
            <w:r w:rsidRPr="00046F7F">
              <w:rPr>
                <w:rFonts w:eastAsia="Calibri"/>
              </w:rPr>
              <w:t xml:space="preserve">Beskriv </w:t>
            </w:r>
            <w:r w:rsidR="00F94E34" w:rsidRPr="00046F7F">
              <w:rPr>
                <w:rFonts w:eastAsia="Calibri"/>
              </w:rPr>
              <w:t>de möjliga risker ni bedömer kunna uppkomma i samband med personuppgiftsbehandlingen.</w:t>
            </w:r>
            <w:r w:rsidR="00046F7F" w:rsidRPr="00046F7F">
              <w:rPr>
                <w:i/>
                <w:iCs/>
              </w:rPr>
              <w:t xml:space="preserve"> </w:t>
            </w:r>
            <w:r w:rsidR="00046F7F" w:rsidRPr="00046F7F">
              <w:t>Riskbedömningen ska göras utifrån sannolikheten att risken inträffar och hur allvarlig konsekvensen av en sådan händelse kan bli enligt KI:s regler för riskanalys.</w:t>
            </w:r>
          </w:p>
          <w:p w14:paraId="5C2B337A" w14:textId="60FC7EFD" w:rsidR="00496F7D" w:rsidRDefault="00496F7D" w:rsidP="001E7444">
            <w:pPr>
              <w:rPr>
                <w:rFonts w:eastAsia="Calibri"/>
              </w:rPr>
            </w:pPr>
            <w:r w:rsidRPr="007F4CBD">
              <w:rPr>
                <w:rFonts w:eastAsia="Calibri"/>
              </w:rPr>
              <w:t xml:space="preserve"> </w:t>
            </w:r>
          </w:p>
        </w:tc>
      </w:tr>
      <w:tr w:rsidR="00496F7D" w14:paraId="167820C1" w14:textId="77777777" w:rsidTr="00496F7D">
        <w:trPr>
          <w:trHeight w:val="9199"/>
        </w:trPr>
        <w:tc>
          <w:tcPr>
            <w:tcW w:w="8595" w:type="dxa"/>
          </w:tcPr>
          <w:p w14:paraId="636AE24A" w14:textId="77777777" w:rsidR="00496F7D" w:rsidRDefault="00496F7D" w:rsidP="001E7444">
            <w:pPr>
              <w:rPr>
                <w:rFonts w:eastAsia="Calibri"/>
              </w:rPr>
            </w:pPr>
          </w:p>
        </w:tc>
      </w:tr>
      <w:bookmarkEnd w:id="5"/>
    </w:tbl>
    <w:p w14:paraId="198D553F" w14:textId="483D1ADA" w:rsidR="0089039A" w:rsidRDefault="0089039A" w:rsidP="00496F7D">
      <w:pPr>
        <w:rPr>
          <w:rFonts w:eastAsia="Calibri"/>
        </w:rPr>
      </w:pPr>
    </w:p>
    <w:p w14:paraId="6B3BF90E" w14:textId="77777777" w:rsidR="0089039A" w:rsidRDefault="0089039A">
      <w:pPr>
        <w:rPr>
          <w:rFonts w:eastAsia="Calibri"/>
        </w:rPr>
      </w:pPr>
      <w:r>
        <w:rPr>
          <w:rFonts w:eastAsia="Calibri"/>
        </w:rPr>
        <w:br w:type="page"/>
      </w:r>
    </w:p>
    <w:p w14:paraId="5F2A2929" w14:textId="18E35E9C" w:rsidR="00D66EEE" w:rsidRPr="00BC068E" w:rsidRDefault="00D66EEE" w:rsidP="00D66EE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5</w:t>
      </w:r>
      <w:r w:rsidRPr="00BC068E">
        <w:rPr>
          <w:rFonts w:eastAsia="Calibri"/>
          <w:b/>
          <w:bCs/>
          <w:sz w:val="28"/>
          <w:szCs w:val="28"/>
        </w:rPr>
        <w:t xml:space="preserve">. Beskriv </w:t>
      </w:r>
      <w:r w:rsidR="00567744">
        <w:rPr>
          <w:rFonts w:eastAsia="Calibri"/>
          <w:b/>
          <w:bCs/>
          <w:sz w:val="28"/>
          <w:szCs w:val="28"/>
        </w:rPr>
        <w:t xml:space="preserve">vilka </w:t>
      </w:r>
      <w:r w:rsidRPr="00046F7F">
        <w:rPr>
          <w:rFonts w:eastAsia="Calibri"/>
          <w:b/>
          <w:bCs/>
          <w:sz w:val="28"/>
          <w:szCs w:val="28"/>
        </w:rPr>
        <w:t>åtgärder</w:t>
      </w:r>
      <w:r w:rsidR="00567744" w:rsidRPr="00046F7F">
        <w:rPr>
          <w:rFonts w:eastAsia="Calibri"/>
          <w:b/>
          <w:bCs/>
          <w:sz w:val="28"/>
          <w:szCs w:val="28"/>
        </w:rPr>
        <w:t xml:space="preserve"> som planeras</w:t>
      </w:r>
      <w:r w:rsidR="00567744">
        <w:rPr>
          <w:rFonts w:eastAsia="Calibri"/>
          <w:b/>
          <w:bCs/>
          <w:sz w:val="28"/>
          <w:szCs w:val="28"/>
        </w:rPr>
        <w:t xml:space="preserve"> eller har vidtagits</w:t>
      </w:r>
      <w:r>
        <w:rPr>
          <w:rFonts w:eastAsia="Calibri"/>
          <w:b/>
          <w:bCs/>
          <w:sz w:val="28"/>
          <w:szCs w:val="28"/>
        </w:rPr>
        <w:t xml:space="preserve"> för att skydda de registrerade</w:t>
      </w:r>
    </w:p>
    <w:p w14:paraId="3238CDD4" w14:textId="77777777" w:rsidR="00496F7D" w:rsidRDefault="00496F7D" w:rsidP="00496F7D">
      <w:pPr>
        <w:rPr>
          <w:rFonts w:eastAsia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702F9" w14:paraId="35BB4B3B" w14:textId="77777777" w:rsidTr="006419DE">
        <w:trPr>
          <w:trHeight w:val="2117"/>
        </w:trPr>
        <w:tc>
          <w:tcPr>
            <w:tcW w:w="8595" w:type="dxa"/>
          </w:tcPr>
          <w:p w14:paraId="37C02381" w14:textId="4D89BB00" w:rsidR="00B7708A" w:rsidRPr="00B7708A" w:rsidRDefault="00B7708A" w:rsidP="00B7708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 xml:space="preserve">Exempel på åtgärder </w:t>
            </w:r>
            <w:r w:rsidR="0025697B">
              <w:rPr>
                <w:color w:val="000000"/>
              </w:rPr>
              <w:t xml:space="preserve">(tekniska och organisatoriska) </w:t>
            </w:r>
            <w:r w:rsidRPr="00B7708A">
              <w:rPr>
                <w:color w:val="000000"/>
              </w:rPr>
              <w:t>som ni kan använda för att hantera risker och skydda de registrerade är</w:t>
            </w:r>
          </w:p>
          <w:p w14:paraId="611EDBF6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autentisering</w:t>
            </w:r>
          </w:p>
          <w:p w14:paraId="77E94CDF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kryptering</w:t>
            </w:r>
          </w:p>
          <w:p w14:paraId="4C37056A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rutiner och tydlig information om säkerhet till systemets användare</w:t>
            </w:r>
          </w:p>
          <w:p w14:paraId="75D79DD4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logg över vem som använder personuppgifter</w:t>
            </w:r>
          </w:p>
          <w:p w14:paraId="6BCEC48D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stöd för säkerhetskopiering</w:t>
            </w:r>
          </w:p>
          <w:p w14:paraId="76573CD8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7708A">
              <w:rPr>
                <w:color w:val="000000"/>
              </w:rPr>
              <w:t>pseudonymisering</w:t>
            </w:r>
            <w:proofErr w:type="spellEnd"/>
            <w:r w:rsidRPr="00B7708A">
              <w:rPr>
                <w:color w:val="000000"/>
              </w:rPr>
              <w:t xml:space="preserve"> av personuppgifter</w:t>
            </w:r>
          </w:p>
          <w:p w14:paraId="0BC632C4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öppen redovisning av personuppgifternas syfte och behandling</w:t>
            </w:r>
          </w:p>
          <w:p w14:paraId="4D964C43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möjlighet för den registrerade att övervaka uppgiftsbehandlingen</w:t>
            </w:r>
          </w:p>
          <w:p w14:paraId="19F895FC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minska antalet personer som har tillgång till uppgifterna</w:t>
            </w:r>
          </w:p>
          <w:p w14:paraId="709EB0BF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 xml:space="preserve">begränsa </w:t>
            </w:r>
            <w:proofErr w:type="spellStart"/>
            <w:r w:rsidRPr="00B7708A">
              <w:rPr>
                <w:color w:val="000000"/>
              </w:rPr>
              <w:t>sökbegreppen</w:t>
            </w:r>
            <w:proofErr w:type="spellEnd"/>
            <w:r w:rsidRPr="00B7708A">
              <w:rPr>
                <w:color w:val="000000"/>
              </w:rPr>
              <w:t xml:space="preserve"> så att det inte går att söka på känsliga personuppgifter</w:t>
            </w:r>
          </w:p>
          <w:p w14:paraId="12EF852D" w14:textId="77777777" w:rsidR="00B7708A" w:rsidRPr="00B7708A" w:rsidRDefault="00B7708A" w:rsidP="00B7708A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>införa automatisk borttagning av personuppgifter som inte längre ska behandlas</w:t>
            </w:r>
          </w:p>
          <w:p w14:paraId="08CCD95C" w14:textId="2050D5CF" w:rsidR="008702F9" w:rsidRPr="00B7708A" w:rsidRDefault="00B7708A" w:rsidP="006419D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B7708A">
              <w:rPr>
                <w:color w:val="000000"/>
              </w:rPr>
              <w:t xml:space="preserve">utforma </w:t>
            </w:r>
            <w:proofErr w:type="spellStart"/>
            <w:r w:rsidRPr="00B7708A">
              <w:rPr>
                <w:color w:val="000000"/>
              </w:rPr>
              <w:t>it-systemen</w:t>
            </w:r>
            <w:proofErr w:type="spellEnd"/>
            <w:r w:rsidRPr="00B7708A">
              <w:rPr>
                <w:color w:val="000000"/>
              </w:rPr>
              <w:t xml:space="preserve"> så att inte fler personuppgifter än nödvändigt behandlas, d</w:t>
            </w:r>
            <w:r>
              <w:rPr>
                <w:color w:val="000000"/>
              </w:rPr>
              <w:t>vs.</w:t>
            </w:r>
            <w:r w:rsidRPr="00B7708A">
              <w:rPr>
                <w:color w:val="000000"/>
              </w:rPr>
              <w:t xml:space="preserve"> inbyggt dataskydd och dataskydd som standard</w:t>
            </w:r>
          </w:p>
        </w:tc>
      </w:tr>
      <w:tr w:rsidR="008702F9" w14:paraId="137DD832" w14:textId="77777777" w:rsidTr="006419DE">
        <w:trPr>
          <w:trHeight w:val="9199"/>
        </w:trPr>
        <w:tc>
          <w:tcPr>
            <w:tcW w:w="8595" w:type="dxa"/>
          </w:tcPr>
          <w:p w14:paraId="6D41E1BC" w14:textId="77777777" w:rsidR="008702F9" w:rsidRDefault="008702F9" w:rsidP="006419DE">
            <w:pPr>
              <w:rPr>
                <w:rFonts w:eastAsia="Calibri"/>
              </w:rPr>
            </w:pPr>
          </w:p>
        </w:tc>
      </w:tr>
    </w:tbl>
    <w:p w14:paraId="515ED1CA" w14:textId="6AD5C163" w:rsidR="008702F9" w:rsidRDefault="008702F9" w:rsidP="00496F7D">
      <w:pPr>
        <w:rPr>
          <w:rFonts w:eastAsia="Calibri"/>
        </w:rPr>
      </w:pPr>
    </w:p>
    <w:p w14:paraId="2568DE30" w14:textId="74F4CE84" w:rsidR="0089039A" w:rsidRDefault="0089039A">
      <w:pPr>
        <w:rPr>
          <w:rFonts w:eastAsia="Calibri"/>
        </w:rPr>
      </w:pPr>
      <w:r>
        <w:rPr>
          <w:rFonts w:eastAsia="Calibri"/>
        </w:rPr>
        <w:br w:type="page"/>
      </w:r>
    </w:p>
    <w:p w14:paraId="7BB27965" w14:textId="446BB287" w:rsidR="00B7708A" w:rsidRPr="00BC068E" w:rsidRDefault="00B7708A" w:rsidP="00B7708A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6.</w:t>
      </w:r>
      <w:r w:rsidRPr="00BC068E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Redogör för uppföljning av åtgärderna </w:t>
      </w:r>
    </w:p>
    <w:p w14:paraId="6EA394DD" w14:textId="77777777" w:rsidR="008702F9" w:rsidRDefault="008702F9" w:rsidP="00496F7D">
      <w:pPr>
        <w:rPr>
          <w:rFonts w:eastAsia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96F7D" w14:paraId="6638FC26" w14:textId="77777777" w:rsidTr="001E7444">
        <w:trPr>
          <w:trHeight w:val="983"/>
        </w:trPr>
        <w:tc>
          <w:tcPr>
            <w:tcW w:w="8595" w:type="dxa"/>
          </w:tcPr>
          <w:p w14:paraId="0FD47FD6" w14:textId="7532356E" w:rsidR="00496F7D" w:rsidRDefault="0025697B" w:rsidP="008702F9">
            <w:pPr>
              <w:rPr>
                <w:rFonts w:eastAsia="Calibri"/>
              </w:rPr>
            </w:pPr>
            <w:bookmarkStart w:id="6" w:name="_Hlk63084277"/>
            <w:r>
              <w:rPr>
                <w:rFonts w:eastAsia="Calibri"/>
              </w:rPr>
              <w:t>Uppföljningen ska göras för att säkerställa att åtgärderna fortfarande är effektiva och ändamålsenliga. Beskriv hur ni gör uppföljningen.</w:t>
            </w:r>
          </w:p>
        </w:tc>
      </w:tr>
      <w:tr w:rsidR="00496F7D" w14:paraId="0AE63FC3" w14:textId="77777777" w:rsidTr="00496F7D">
        <w:trPr>
          <w:trHeight w:val="10050"/>
        </w:trPr>
        <w:tc>
          <w:tcPr>
            <w:tcW w:w="8595" w:type="dxa"/>
          </w:tcPr>
          <w:p w14:paraId="332E1B9E" w14:textId="77777777" w:rsidR="00496F7D" w:rsidRDefault="00496F7D" w:rsidP="001E7444">
            <w:pPr>
              <w:rPr>
                <w:rFonts w:eastAsia="Calibri"/>
              </w:rPr>
            </w:pPr>
          </w:p>
        </w:tc>
      </w:tr>
      <w:bookmarkEnd w:id="6"/>
    </w:tbl>
    <w:p w14:paraId="383BAB86" w14:textId="77777777" w:rsidR="0089039A" w:rsidRDefault="0089039A" w:rsidP="008E10B4">
      <w:pPr>
        <w:rPr>
          <w:rFonts w:eastAsia="Calibri"/>
          <w:sz w:val="28"/>
          <w:szCs w:val="28"/>
        </w:rPr>
      </w:pPr>
    </w:p>
    <w:sectPr w:rsidR="0089039A" w:rsidSect="00A31E7A">
      <w:pgSz w:w="11907" w:h="16839" w:code="9"/>
      <w:pgMar w:top="1418" w:right="1826" w:bottom="1134" w:left="2308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DBA4" w14:textId="77777777" w:rsidR="00107D05" w:rsidRDefault="00107D05">
      <w:r>
        <w:separator/>
      </w:r>
    </w:p>
  </w:endnote>
  <w:endnote w:type="continuationSeparator" w:id="0">
    <w:p w14:paraId="713CD7BF" w14:textId="77777777" w:rsidR="00107D05" w:rsidRDefault="00107D05">
      <w:r>
        <w:continuationSeparator/>
      </w:r>
    </w:p>
  </w:endnote>
  <w:endnote w:type="continuationNotice" w:id="1">
    <w:p w14:paraId="5FAA4F39" w14:textId="77777777" w:rsidR="00107D05" w:rsidRDefault="00107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5831" w14:textId="77777777" w:rsidR="00107D05" w:rsidRDefault="00107D05">
      <w:r>
        <w:separator/>
      </w:r>
    </w:p>
  </w:footnote>
  <w:footnote w:type="continuationSeparator" w:id="0">
    <w:p w14:paraId="284E8643" w14:textId="77777777" w:rsidR="00107D05" w:rsidRDefault="00107D05">
      <w:r>
        <w:continuationSeparator/>
      </w:r>
    </w:p>
  </w:footnote>
  <w:footnote w:type="continuationNotice" w:id="1">
    <w:p w14:paraId="6D8D4604" w14:textId="77777777" w:rsidR="00107D05" w:rsidRDefault="00107D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770F31"/>
    <w:multiLevelType w:val="hybridMultilevel"/>
    <w:tmpl w:val="FADC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C839E3"/>
    <w:multiLevelType w:val="multilevel"/>
    <w:tmpl w:val="13E2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42BC"/>
    <w:multiLevelType w:val="hybridMultilevel"/>
    <w:tmpl w:val="D4D8F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59F7"/>
    <w:multiLevelType w:val="hybridMultilevel"/>
    <w:tmpl w:val="2D961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32C3"/>
    <w:multiLevelType w:val="multilevel"/>
    <w:tmpl w:val="616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  <w:num w:numId="20">
    <w:abstractNumId w:val="1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496F7D"/>
    <w:rsid w:val="000049DA"/>
    <w:rsid w:val="00041952"/>
    <w:rsid w:val="00042194"/>
    <w:rsid w:val="00046F7F"/>
    <w:rsid w:val="0005194C"/>
    <w:rsid w:val="000527CF"/>
    <w:rsid w:val="00056AB9"/>
    <w:rsid w:val="00076F3B"/>
    <w:rsid w:val="00090A88"/>
    <w:rsid w:val="000A0D13"/>
    <w:rsid w:val="000A1930"/>
    <w:rsid w:val="000A5401"/>
    <w:rsid w:val="000B16B5"/>
    <w:rsid w:val="000B4182"/>
    <w:rsid w:val="000C2397"/>
    <w:rsid w:val="000C3A6C"/>
    <w:rsid w:val="000D213E"/>
    <w:rsid w:val="000E5F9B"/>
    <w:rsid w:val="00107D05"/>
    <w:rsid w:val="00112F66"/>
    <w:rsid w:val="001178BF"/>
    <w:rsid w:val="00144132"/>
    <w:rsid w:val="00151C6E"/>
    <w:rsid w:val="00163316"/>
    <w:rsid w:val="001772C2"/>
    <w:rsid w:val="00191346"/>
    <w:rsid w:val="001C1092"/>
    <w:rsid w:val="001E0BE2"/>
    <w:rsid w:val="001E1111"/>
    <w:rsid w:val="001F255A"/>
    <w:rsid w:val="00203957"/>
    <w:rsid w:val="0022367E"/>
    <w:rsid w:val="00224FE6"/>
    <w:rsid w:val="00233C6F"/>
    <w:rsid w:val="00234AF4"/>
    <w:rsid w:val="00235D4D"/>
    <w:rsid w:val="00236A85"/>
    <w:rsid w:val="0023767C"/>
    <w:rsid w:val="00244644"/>
    <w:rsid w:val="0025154D"/>
    <w:rsid w:val="002551A2"/>
    <w:rsid w:val="0025697B"/>
    <w:rsid w:val="00277875"/>
    <w:rsid w:val="002801CB"/>
    <w:rsid w:val="00285D45"/>
    <w:rsid w:val="0029299A"/>
    <w:rsid w:val="002B6BAC"/>
    <w:rsid w:val="002C505B"/>
    <w:rsid w:val="002D3ACB"/>
    <w:rsid w:val="002E06D5"/>
    <w:rsid w:val="002E1F25"/>
    <w:rsid w:val="002F3180"/>
    <w:rsid w:val="0034348D"/>
    <w:rsid w:val="00346BAD"/>
    <w:rsid w:val="00347465"/>
    <w:rsid w:val="0035156F"/>
    <w:rsid w:val="00352E3F"/>
    <w:rsid w:val="0035477E"/>
    <w:rsid w:val="003A6C70"/>
    <w:rsid w:val="003D2921"/>
    <w:rsid w:val="003D6F71"/>
    <w:rsid w:val="003F63D5"/>
    <w:rsid w:val="004050A4"/>
    <w:rsid w:val="00413655"/>
    <w:rsid w:val="00426311"/>
    <w:rsid w:val="00461AFD"/>
    <w:rsid w:val="00463451"/>
    <w:rsid w:val="00466F2F"/>
    <w:rsid w:val="004829B9"/>
    <w:rsid w:val="0049079F"/>
    <w:rsid w:val="004908DC"/>
    <w:rsid w:val="00496F7D"/>
    <w:rsid w:val="004A0259"/>
    <w:rsid w:val="004A26CB"/>
    <w:rsid w:val="004A7A58"/>
    <w:rsid w:val="004B36A9"/>
    <w:rsid w:val="004B7A76"/>
    <w:rsid w:val="004C2670"/>
    <w:rsid w:val="004C6A35"/>
    <w:rsid w:val="004E4AAB"/>
    <w:rsid w:val="004F5F73"/>
    <w:rsid w:val="00500B9D"/>
    <w:rsid w:val="00502C69"/>
    <w:rsid w:val="00504FBF"/>
    <w:rsid w:val="00516BC2"/>
    <w:rsid w:val="0053657D"/>
    <w:rsid w:val="005365F6"/>
    <w:rsid w:val="00567387"/>
    <w:rsid w:val="00567744"/>
    <w:rsid w:val="0057635C"/>
    <w:rsid w:val="00577475"/>
    <w:rsid w:val="00595943"/>
    <w:rsid w:val="005A03A2"/>
    <w:rsid w:val="005B6422"/>
    <w:rsid w:val="005C55C9"/>
    <w:rsid w:val="005D5B4D"/>
    <w:rsid w:val="005E4689"/>
    <w:rsid w:val="005F56F6"/>
    <w:rsid w:val="0060559C"/>
    <w:rsid w:val="006163EB"/>
    <w:rsid w:val="0061653B"/>
    <w:rsid w:val="006257C7"/>
    <w:rsid w:val="006366DB"/>
    <w:rsid w:val="00640BBD"/>
    <w:rsid w:val="00644C05"/>
    <w:rsid w:val="00651B0B"/>
    <w:rsid w:val="006531C8"/>
    <w:rsid w:val="00654841"/>
    <w:rsid w:val="006601C4"/>
    <w:rsid w:val="0066374B"/>
    <w:rsid w:val="00674E79"/>
    <w:rsid w:val="006829E5"/>
    <w:rsid w:val="0068730D"/>
    <w:rsid w:val="0069689E"/>
    <w:rsid w:val="006A6008"/>
    <w:rsid w:val="006C3E7B"/>
    <w:rsid w:val="006C7FF4"/>
    <w:rsid w:val="006E6047"/>
    <w:rsid w:val="006F6CC9"/>
    <w:rsid w:val="00722FC0"/>
    <w:rsid w:val="007309D3"/>
    <w:rsid w:val="00735C7C"/>
    <w:rsid w:val="00741C66"/>
    <w:rsid w:val="00750ACE"/>
    <w:rsid w:val="007675F5"/>
    <w:rsid w:val="00772006"/>
    <w:rsid w:val="00793B15"/>
    <w:rsid w:val="00797B4A"/>
    <w:rsid w:val="007B1908"/>
    <w:rsid w:val="007B7A56"/>
    <w:rsid w:val="007C562F"/>
    <w:rsid w:val="007F09FA"/>
    <w:rsid w:val="007F7168"/>
    <w:rsid w:val="007F7DB8"/>
    <w:rsid w:val="008025F5"/>
    <w:rsid w:val="008026CA"/>
    <w:rsid w:val="008105BB"/>
    <w:rsid w:val="00827766"/>
    <w:rsid w:val="00841A49"/>
    <w:rsid w:val="00846DE9"/>
    <w:rsid w:val="00851E05"/>
    <w:rsid w:val="00861870"/>
    <w:rsid w:val="00864503"/>
    <w:rsid w:val="008702F9"/>
    <w:rsid w:val="00876599"/>
    <w:rsid w:val="00882B54"/>
    <w:rsid w:val="00885EE9"/>
    <w:rsid w:val="0089039A"/>
    <w:rsid w:val="00893E38"/>
    <w:rsid w:val="0089479A"/>
    <w:rsid w:val="008D3D7F"/>
    <w:rsid w:val="008D4A85"/>
    <w:rsid w:val="008D6515"/>
    <w:rsid w:val="008E10B4"/>
    <w:rsid w:val="008E6EDD"/>
    <w:rsid w:val="008F1791"/>
    <w:rsid w:val="008F6F37"/>
    <w:rsid w:val="008F7D4F"/>
    <w:rsid w:val="00900937"/>
    <w:rsid w:val="0091218A"/>
    <w:rsid w:val="00914FB3"/>
    <w:rsid w:val="00927944"/>
    <w:rsid w:val="00936252"/>
    <w:rsid w:val="009365C6"/>
    <w:rsid w:val="0093783A"/>
    <w:rsid w:val="00940994"/>
    <w:rsid w:val="00947A8B"/>
    <w:rsid w:val="0095305F"/>
    <w:rsid w:val="00965375"/>
    <w:rsid w:val="00987666"/>
    <w:rsid w:val="00991CDB"/>
    <w:rsid w:val="009D1D98"/>
    <w:rsid w:val="009E1A51"/>
    <w:rsid w:val="009F3B5C"/>
    <w:rsid w:val="00A0578F"/>
    <w:rsid w:val="00A12034"/>
    <w:rsid w:val="00A14F38"/>
    <w:rsid w:val="00A31E7A"/>
    <w:rsid w:val="00A32A16"/>
    <w:rsid w:val="00A41515"/>
    <w:rsid w:val="00A4239C"/>
    <w:rsid w:val="00A52D44"/>
    <w:rsid w:val="00A54EBB"/>
    <w:rsid w:val="00A57AC1"/>
    <w:rsid w:val="00A60899"/>
    <w:rsid w:val="00A63E02"/>
    <w:rsid w:val="00A65237"/>
    <w:rsid w:val="00A67199"/>
    <w:rsid w:val="00A726D4"/>
    <w:rsid w:val="00A85219"/>
    <w:rsid w:val="00A86F11"/>
    <w:rsid w:val="00A90256"/>
    <w:rsid w:val="00AB0DE3"/>
    <w:rsid w:val="00AB60FC"/>
    <w:rsid w:val="00AC2C52"/>
    <w:rsid w:val="00AC3FB1"/>
    <w:rsid w:val="00AD1BF5"/>
    <w:rsid w:val="00B039FF"/>
    <w:rsid w:val="00B46167"/>
    <w:rsid w:val="00B558EA"/>
    <w:rsid w:val="00B60C4B"/>
    <w:rsid w:val="00B72CEF"/>
    <w:rsid w:val="00B7708A"/>
    <w:rsid w:val="00B846FB"/>
    <w:rsid w:val="00B90DF0"/>
    <w:rsid w:val="00B92920"/>
    <w:rsid w:val="00B93E7B"/>
    <w:rsid w:val="00B947D1"/>
    <w:rsid w:val="00BA1675"/>
    <w:rsid w:val="00BA6B86"/>
    <w:rsid w:val="00BB3B44"/>
    <w:rsid w:val="00BC068E"/>
    <w:rsid w:val="00BC1BBD"/>
    <w:rsid w:val="00BC3ACC"/>
    <w:rsid w:val="00BD7F21"/>
    <w:rsid w:val="00C1345C"/>
    <w:rsid w:val="00C21983"/>
    <w:rsid w:val="00C32760"/>
    <w:rsid w:val="00C37F1C"/>
    <w:rsid w:val="00C4715C"/>
    <w:rsid w:val="00C5470C"/>
    <w:rsid w:val="00C602EF"/>
    <w:rsid w:val="00C6285D"/>
    <w:rsid w:val="00C64344"/>
    <w:rsid w:val="00C64D94"/>
    <w:rsid w:val="00C8770E"/>
    <w:rsid w:val="00C904FA"/>
    <w:rsid w:val="00C92487"/>
    <w:rsid w:val="00C9625D"/>
    <w:rsid w:val="00CA52D8"/>
    <w:rsid w:val="00CC1ABB"/>
    <w:rsid w:val="00CC5A36"/>
    <w:rsid w:val="00D161EE"/>
    <w:rsid w:val="00D225DD"/>
    <w:rsid w:val="00D66EEE"/>
    <w:rsid w:val="00D84B06"/>
    <w:rsid w:val="00D8590D"/>
    <w:rsid w:val="00D91CA7"/>
    <w:rsid w:val="00D9219F"/>
    <w:rsid w:val="00DA2113"/>
    <w:rsid w:val="00DB30DB"/>
    <w:rsid w:val="00DB4245"/>
    <w:rsid w:val="00DC2457"/>
    <w:rsid w:val="00DF17D2"/>
    <w:rsid w:val="00E00B95"/>
    <w:rsid w:val="00E04B8F"/>
    <w:rsid w:val="00E123AC"/>
    <w:rsid w:val="00E256E0"/>
    <w:rsid w:val="00E25F5D"/>
    <w:rsid w:val="00E34603"/>
    <w:rsid w:val="00E34747"/>
    <w:rsid w:val="00E44C22"/>
    <w:rsid w:val="00E53ABD"/>
    <w:rsid w:val="00E57DEC"/>
    <w:rsid w:val="00E66BE4"/>
    <w:rsid w:val="00E836D8"/>
    <w:rsid w:val="00E9294B"/>
    <w:rsid w:val="00E93AED"/>
    <w:rsid w:val="00EB03D1"/>
    <w:rsid w:val="00EC1F63"/>
    <w:rsid w:val="00EC2958"/>
    <w:rsid w:val="00ED46C2"/>
    <w:rsid w:val="00ED6689"/>
    <w:rsid w:val="00EE09B3"/>
    <w:rsid w:val="00EE2B4A"/>
    <w:rsid w:val="00EF5BAC"/>
    <w:rsid w:val="00F019CB"/>
    <w:rsid w:val="00F01C70"/>
    <w:rsid w:val="00F054F4"/>
    <w:rsid w:val="00F11685"/>
    <w:rsid w:val="00F21D2D"/>
    <w:rsid w:val="00F300C6"/>
    <w:rsid w:val="00F47567"/>
    <w:rsid w:val="00F620B1"/>
    <w:rsid w:val="00F67BDE"/>
    <w:rsid w:val="00F76D96"/>
    <w:rsid w:val="00F76F2E"/>
    <w:rsid w:val="00F91E3F"/>
    <w:rsid w:val="00F93BEB"/>
    <w:rsid w:val="00F94E34"/>
    <w:rsid w:val="00F97B2E"/>
    <w:rsid w:val="00FA7D92"/>
    <w:rsid w:val="00FC5242"/>
    <w:rsid w:val="00FC58E2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5B9456"/>
  <w15:chartTrackingRefBased/>
  <w15:docId w15:val="{02397ACB-45B6-4E3B-8054-C5E23B31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link w:val="SidhuvudChar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SidhuvudChar">
    <w:name w:val="Sidhuvud Char"/>
    <w:basedOn w:val="Standardstycketeckensnitt"/>
    <w:link w:val="Sidhuvud"/>
    <w:rsid w:val="00496F7D"/>
    <w:rPr>
      <w:sz w:val="24"/>
      <w:szCs w:val="24"/>
    </w:rPr>
  </w:style>
  <w:style w:type="character" w:styleId="Kommentarsreferens">
    <w:name w:val="annotation reference"/>
    <w:basedOn w:val="Standardstycketeckensnitt"/>
    <w:unhideWhenUsed/>
    <w:rsid w:val="00496F7D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96F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96F7D"/>
  </w:style>
  <w:style w:type="paragraph" w:styleId="Liststycke">
    <w:name w:val="List Paragraph"/>
    <w:basedOn w:val="Normal"/>
    <w:uiPriority w:val="72"/>
    <w:qFormat/>
    <w:rsid w:val="00285D45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CC1AB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Stark">
    <w:name w:val="Strong"/>
    <w:basedOn w:val="Standardstycketeckensnitt"/>
    <w:uiPriority w:val="22"/>
    <w:qFormat/>
    <w:rsid w:val="00112F66"/>
    <w:rPr>
      <w:rFonts w:ascii="Arial" w:hAnsi="Arial" w:cs="Arial" w:hint="default"/>
      <w:b/>
      <w:bCs/>
    </w:rPr>
  </w:style>
  <w:style w:type="paragraph" w:styleId="Normalwebb">
    <w:name w:val="Normal (Web)"/>
    <w:basedOn w:val="Normal"/>
    <w:uiPriority w:val="99"/>
    <w:unhideWhenUsed/>
    <w:rsid w:val="00112F66"/>
    <w:pPr>
      <w:spacing w:after="225" w:line="360" w:lineRule="atLeast"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F6CC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F6CC9"/>
    <w:rPr>
      <w:b/>
      <w:bCs/>
    </w:rPr>
  </w:style>
  <w:style w:type="paragraph" w:styleId="Revision">
    <w:name w:val="Revision"/>
    <w:hidden/>
    <w:uiPriority w:val="99"/>
    <w:semiHidden/>
    <w:rsid w:val="009F3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27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4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mor\AppData\Local\Microsoft\Windows\INetCache\Content.Outlook\1DGEUYW4\pm_no_macro_farglogo_sven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A92D-E56A-4396-AA51-FC5EE5FE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pm_no_macro_farglogo_svensk</Template>
  <TotalTime>334</TotalTime>
  <Pages>8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PM, rapporter etc</vt:lpstr>
    </vt:vector>
  </TitlesOfParts>
  <Company>ki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subject/>
  <dc:creator>Päivi Morell Heinänen</dc:creator>
  <cp:keywords>PM, Rapport</cp:keywords>
  <dc:description>Framtagen av mejkSoft AB</dc:description>
  <cp:lastModifiedBy>Helén Törnqvist</cp:lastModifiedBy>
  <cp:revision>13</cp:revision>
  <cp:lastPrinted>2005-12-21T14:48:00Z</cp:lastPrinted>
  <dcterms:created xsi:type="dcterms:W3CDTF">2022-01-25T09:18:00Z</dcterms:created>
  <dcterms:modified xsi:type="dcterms:W3CDTF">2022-02-22T10:24:00Z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</Properties>
</file>